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黑体" w:hAnsi="黑体" w:eastAsia="黑体" w:cstheme="minorBidi"/>
          <w:color w:val="333333"/>
          <w:kern w:val="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2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仿宋_GB2312" w:eastAsia="仿宋_GB2312"/>
          <w:color w:val="333333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color w:val="333333"/>
          <w:sz w:val="44"/>
          <w:szCs w:val="44"/>
        </w:rPr>
        <w:t>公司数据能力资料</w:t>
      </w:r>
      <w:bookmarkEnd w:id="0"/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（一）所掌握的数据资源。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公司掌握数据资源种类（如市场监管、环保、法院数据等，请列举）、数据总量、覆盖全国省市数量等。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（二）舆情数据情况。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舆情数据覆盖媒体类型、监测范围等。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（三）大数据技术能力。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是否具备信用数据治理、企业图谱分析、信用预警雷达等大数据技术能力，如有，请列举。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（以上情况请提交相关证明资料）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仿宋_GB2312" w:eastAsia="仿宋_GB2312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D2181"/>
    <w:rsid w:val="1B4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2020-08-03T08:04:00Z</dcterms:created>
  <dc:creator>邱春路</dc:creator>
  <cp:lastModifiedBy>邱春路</cp:lastModifiedBy>
  <dcterms:modified xsi:type="dcterms:W3CDTF">2020-08-03T08:05:49Z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